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F101E" w14:textId="78F4803D" w:rsidR="002A0C31" w:rsidRPr="002A0C31" w:rsidRDefault="002A0C31" w:rsidP="002A0C31">
      <w:pPr>
        <w:pStyle w:val="Nadpis1"/>
        <w:jc w:val="center"/>
        <w:rPr>
          <w:rFonts w:eastAsia="Times New Roman"/>
          <w:b/>
          <w:bCs/>
          <w:lang w:eastAsia="cs-CZ"/>
        </w:rPr>
      </w:pPr>
      <w:r w:rsidRPr="002A0C31">
        <w:rPr>
          <w:rFonts w:eastAsia="Times New Roman"/>
          <w:b/>
          <w:bCs/>
          <w:lang w:eastAsia="cs-CZ"/>
        </w:rPr>
        <w:t>Výpočet osvětlení místnosti</w:t>
      </w:r>
    </w:p>
    <w:p w14:paraId="63EDC546" w14:textId="1BDDE30B" w:rsid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</w:pPr>
    </w:p>
    <w:tbl>
      <w:tblPr>
        <w:tblW w:w="94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8"/>
        <w:gridCol w:w="3752"/>
      </w:tblGrid>
      <w:tr w:rsidR="00EF4D42" w:rsidRPr="00EF4D42" w14:paraId="7EBABCC8" w14:textId="77777777" w:rsidTr="00EF4D42">
        <w:tc>
          <w:tcPr>
            <w:tcW w:w="0" w:type="auto"/>
            <w:tcBorders>
              <w:top w:val="nil"/>
              <w:left w:val="nil"/>
              <w:bottom w:val="single" w:sz="12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DAEEE36" w14:textId="77777777" w:rsidR="00EF4D42" w:rsidRPr="00EF4D42" w:rsidRDefault="00EF4D42" w:rsidP="00EF4D42">
            <w:pPr>
              <w:spacing w:after="0" w:line="330" w:lineRule="atLeast"/>
              <w:jc w:val="center"/>
              <w:rPr>
                <w:rFonts w:ascii="Arial" w:eastAsia="Times New Roman" w:hAnsi="Arial" w:cs="Arial"/>
                <w:b/>
                <w:bCs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b/>
                <w:bCs/>
                <w:color w:val="303B42"/>
                <w:sz w:val="21"/>
                <w:szCs w:val="21"/>
                <w:lang w:eastAsia="cs-CZ"/>
              </w:rPr>
              <w:t>Druh pracovní činnosti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AF5473E" w14:textId="77777777" w:rsidR="00EF4D42" w:rsidRPr="00EF4D42" w:rsidRDefault="00EF4D42" w:rsidP="00EF4D42">
            <w:pPr>
              <w:spacing w:after="0" w:line="330" w:lineRule="atLeast"/>
              <w:jc w:val="center"/>
              <w:rPr>
                <w:rFonts w:ascii="Arial" w:eastAsia="Times New Roman" w:hAnsi="Arial" w:cs="Arial"/>
                <w:b/>
                <w:bCs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b/>
                <w:bCs/>
                <w:color w:val="303B42"/>
                <w:sz w:val="21"/>
                <w:szCs w:val="21"/>
                <w:lang w:eastAsia="cs-CZ"/>
              </w:rPr>
              <w:t>Intenzita osvětlení - množství světla na m2</w:t>
            </w:r>
          </w:p>
        </w:tc>
      </w:tr>
      <w:tr w:rsidR="00EF4D42" w:rsidRPr="00EF4D42" w14:paraId="4E46F76B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E94BC0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veřejné venkovní pracoviště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D0BF1C4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30 lux</w:t>
            </w:r>
          </w:p>
        </w:tc>
      </w:tr>
      <w:tr w:rsidR="00EF4D42" w:rsidRPr="00EF4D42" w14:paraId="4157FB38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38EB098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osvětlení místnosti pro základní orientaci při občasném pobytu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4198032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50 lux</w:t>
            </w:r>
          </w:p>
        </w:tc>
      </w:tr>
      <w:tr w:rsidR="00EF4D42" w:rsidRPr="00EF4D42" w14:paraId="60937AEB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74D7340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 xml:space="preserve">pracoviště s </w:t>
            </w:r>
            <w:proofErr w:type="spellStart"/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příležitostními</w:t>
            </w:r>
            <w:proofErr w:type="spellEnd"/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 xml:space="preserve"> činnostmi, ale se zásadní rolí zraku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14B4B46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100 lux</w:t>
            </w:r>
          </w:p>
        </w:tc>
      </w:tr>
      <w:tr w:rsidR="00EF4D42" w:rsidRPr="00EF4D42" w14:paraId="6985B8F0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4DF75F2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pracoviště, kde dochází k manipulaci na zařízení s vysokým kontrastem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BBC7FF5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300 lux</w:t>
            </w:r>
          </w:p>
        </w:tc>
      </w:tr>
      <w:tr w:rsidR="00EF4D42" w:rsidRPr="00EF4D42" w14:paraId="1597CC9C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A14AE59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pracoviště, kde dochází k manipulaci se středním kontrastem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6715A09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500 lux</w:t>
            </w:r>
          </w:p>
        </w:tc>
      </w:tr>
      <w:tr w:rsidR="00EF4D42" w:rsidRPr="00EF4D42" w14:paraId="5CBC22FE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B913F21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pracoviště, kde dochází k manipulaci s předměty s nízkým kontrastem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E2FD99D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1000 lux</w:t>
            </w:r>
          </w:p>
        </w:tc>
      </w:tr>
      <w:tr w:rsidR="00EF4D42" w:rsidRPr="00EF4D42" w14:paraId="587255E0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89744A3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pracoviště, kde dochází k manipulaci s předměty na hranici viditelnosti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E30FD4E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3000 - 10000 lux</w:t>
            </w:r>
          </w:p>
        </w:tc>
      </w:tr>
      <w:tr w:rsidR="00EF4D42" w:rsidRPr="00EF4D42" w14:paraId="7AED2432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5556996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chodby a místa pro komunikaci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8C078F5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100 lux</w:t>
            </w:r>
          </w:p>
        </w:tc>
      </w:tr>
      <w:tr w:rsidR="00EF4D42" w:rsidRPr="00EF4D42" w14:paraId="02445B54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6928028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recepce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D4B713E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300 lux</w:t>
            </w:r>
          </w:p>
        </w:tc>
      </w:tr>
      <w:tr w:rsidR="00EF4D42" w:rsidRPr="00EF4D42" w14:paraId="58EFCCDC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370461D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šatny a toalety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53E7A89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200 lux</w:t>
            </w:r>
          </w:p>
        </w:tc>
      </w:tr>
      <w:tr w:rsidR="00EF4D42" w:rsidRPr="00EF4D42" w14:paraId="083731FC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292EDC4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kanceláře - psaní, čtení, zpracování dat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B82383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500 lux</w:t>
            </w:r>
          </w:p>
        </w:tc>
      </w:tr>
      <w:tr w:rsidR="00EF4D42" w:rsidRPr="00EF4D42" w14:paraId="01F842F8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8854F69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kanceláře - třídění dokumentů, kopírování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D445832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300 lux</w:t>
            </w:r>
          </w:p>
        </w:tc>
      </w:tr>
      <w:tr w:rsidR="00EF4D42" w:rsidRPr="00EF4D42" w14:paraId="1D7C2758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2DDE8A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odpočinkové prostory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6BF21AF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100 lux</w:t>
            </w:r>
          </w:p>
        </w:tc>
      </w:tr>
      <w:tr w:rsidR="00EF4D42" w:rsidRPr="00EF4D42" w14:paraId="3548A59C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EFE1CAE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nákladové rampy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59F2484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150 lux</w:t>
            </w:r>
          </w:p>
        </w:tc>
      </w:tr>
      <w:tr w:rsidR="00EF4D42" w:rsidRPr="00EF4D42" w14:paraId="408CB4C5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F061A5A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regálové sklady bez obsluhy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82DCFE0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20 lux</w:t>
            </w:r>
          </w:p>
        </w:tc>
      </w:tr>
      <w:tr w:rsidR="00EF4D42" w:rsidRPr="00EF4D42" w14:paraId="509697DB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0FFAEB9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regálové sklady s obsluhou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DEE226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150 lux</w:t>
            </w:r>
          </w:p>
        </w:tc>
      </w:tr>
      <w:tr w:rsidR="00EF4D42" w:rsidRPr="00EF4D42" w14:paraId="7EACBA83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C4C9469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pekárna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0E6508A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300 lux</w:t>
            </w:r>
          </w:p>
        </w:tc>
      </w:tr>
      <w:tr w:rsidR="00EF4D42" w:rsidRPr="00EF4D42" w14:paraId="04F108D0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37C2183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prádelna a čistírna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C1E640D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300 lux</w:t>
            </w:r>
          </w:p>
        </w:tc>
      </w:tr>
      <w:tr w:rsidR="00EF4D42" w:rsidRPr="00EF4D42" w14:paraId="51840E23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DEBCEFB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kadeřnictví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A704E99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500 lux</w:t>
            </w:r>
          </w:p>
        </w:tc>
      </w:tr>
      <w:tr w:rsidR="00EF4D42" w:rsidRPr="00EF4D42" w14:paraId="53F24558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21F244A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šperkařství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FC000FB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1000 lux</w:t>
            </w:r>
          </w:p>
        </w:tc>
      </w:tr>
      <w:tr w:rsidR="00EF4D42" w:rsidRPr="00EF4D42" w14:paraId="3E348849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05B2899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montáž elektroniky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4313114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1000 lux</w:t>
            </w:r>
          </w:p>
        </w:tc>
      </w:tr>
      <w:tr w:rsidR="00EF4D42" w:rsidRPr="00EF4D42" w14:paraId="3A95E16E" w14:textId="77777777" w:rsidTr="00EF4D42"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05D1EF5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hodinářství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F794698" w14:textId="77777777" w:rsidR="00EF4D42" w:rsidRPr="00EF4D42" w:rsidRDefault="00EF4D42" w:rsidP="00EF4D42">
            <w:pPr>
              <w:spacing w:after="0" w:line="330" w:lineRule="atLeast"/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</w:pPr>
            <w:r w:rsidRPr="00EF4D42">
              <w:rPr>
                <w:rFonts w:ascii="Arial" w:eastAsia="Times New Roman" w:hAnsi="Arial" w:cs="Arial"/>
                <w:color w:val="303B42"/>
                <w:sz w:val="21"/>
                <w:szCs w:val="21"/>
                <w:lang w:eastAsia="cs-CZ"/>
              </w:rPr>
              <w:t>2000 lux</w:t>
            </w:r>
          </w:p>
        </w:tc>
      </w:tr>
    </w:tbl>
    <w:p w14:paraId="2A5BED19" w14:textId="23A3923A" w:rsidR="00EF4D42" w:rsidRDefault="00EF4D42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</w:pPr>
    </w:p>
    <w:p w14:paraId="552D931C" w14:textId="5071836B" w:rsidR="00EF4D42" w:rsidRDefault="00EF4D42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</w:pPr>
    </w:p>
    <w:p w14:paraId="2DCB8F71" w14:textId="754AA748" w:rsidR="00EF4D42" w:rsidRDefault="00EF4D42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</w:pPr>
    </w:p>
    <w:p w14:paraId="4C006F10" w14:textId="57FF2AE2" w:rsidR="00EF4D42" w:rsidRDefault="00EF4D42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</w:pPr>
    </w:p>
    <w:p w14:paraId="731D0FE4" w14:textId="3CF79E55" w:rsidR="00EF4D42" w:rsidRDefault="00EF4D42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</w:pPr>
    </w:p>
    <w:p w14:paraId="0281EA24" w14:textId="77777777" w:rsidR="00EF4D42" w:rsidRDefault="00EF4D42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</w:pPr>
    </w:p>
    <w:p w14:paraId="0561BF2B" w14:textId="77777777" w:rsidR="00EF4D42" w:rsidRDefault="00EF4D42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</w:pPr>
    </w:p>
    <w:p w14:paraId="29D46DAD" w14:textId="42CA3F5E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top"/>
        <w:outlineLvl w:val="2"/>
        <w:rPr>
          <w:rFonts w:ascii="Courier New" w:eastAsia="Times New Roman" w:hAnsi="Courier New" w:cs="Courier New"/>
          <w:color w:val="1B1B1B"/>
          <w:sz w:val="27"/>
          <w:szCs w:val="27"/>
          <w:lang w:eastAsia="cs-CZ"/>
        </w:rPr>
      </w:pPr>
      <w:r w:rsidRPr="002A0C31">
        <w:rPr>
          <w:rFonts w:ascii="Arial" w:eastAsia="Times New Roman" w:hAnsi="Arial" w:cs="Arial"/>
          <w:b/>
          <w:bCs/>
          <w:color w:val="1B1B1B"/>
          <w:sz w:val="27"/>
          <w:szCs w:val="27"/>
          <w:lang w:eastAsia="cs-CZ"/>
        </w:rPr>
        <w:lastRenderedPageBreak/>
        <w:t>Příklad</w:t>
      </w:r>
    </w:p>
    <w:p w14:paraId="55804F0D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</w:p>
    <w:p w14:paraId="36659152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osvětlení: 12 m² ( 3x4 m) obytné plochy se zapuštěnými svítidly 12m² vynásobíme 100 </w:t>
      </w:r>
      <w:proofErr w:type="spellStart"/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>lm</w:t>
      </w:r>
      <w:proofErr w:type="spellEnd"/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/m² a získáme 1200 </w:t>
      </w:r>
      <w:proofErr w:type="spellStart"/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>lm</w:t>
      </w:r>
      <w:proofErr w:type="spellEnd"/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>, které tvoří celkový světlený tok potřebný k osvětlení místnosti.</w:t>
      </w:r>
    </w:p>
    <w:p w14:paraId="7184CA55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</w:p>
    <w:p w14:paraId="0E530D07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Celkový světelný tok rozdělíme na jednotlivé zdroje, např. 3 po 400lm. V tomto případě bychom tedy pořídili </w:t>
      </w:r>
      <w:r w:rsidRPr="002A0C31">
        <w:rPr>
          <w:rFonts w:ascii="Arial" w:eastAsia="Times New Roman" w:hAnsi="Arial" w:cs="Arial"/>
          <w:b/>
          <w:bCs/>
          <w:color w:val="1B1B1B"/>
          <w:sz w:val="23"/>
          <w:szCs w:val="23"/>
          <w:lang w:eastAsia="cs-CZ"/>
        </w:rPr>
        <w:t>3 světla se zdroji o 400lm</w:t>
      </w: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 na jedno světlo. U rozmístění zapuštěných světel platí, že se jejich světelné kužele musí z 1/3 překrývat.</w:t>
      </w:r>
    </w:p>
    <w:p w14:paraId="2327799F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</w:p>
    <w:p w14:paraId="3C718574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V případě efektivnějšího rozdělní světleného toku bychom využili </w:t>
      </w:r>
      <w:r w:rsidRPr="002A0C31">
        <w:rPr>
          <w:rFonts w:ascii="Arial" w:eastAsia="Times New Roman" w:hAnsi="Arial" w:cs="Arial"/>
          <w:b/>
          <w:bCs/>
          <w:color w:val="1B1B1B"/>
          <w:sz w:val="23"/>
          <w:szCs w:val="23"/>
          <w:lang w:eastAsia="cs-CZ"/>
        </w:rPr>
        <w:t xml:space="preserve">4 světla po 300 </w:t>
      </w:r>
      <w:proofErr w:type="spellStart"/>
      <w:r w:rsidRPr="002A0C31">
        <w:rPr>
          <w:rFonts w:ascii="Arial" w:eastAsia="Times New Roman" w:hAnsi="Arial" w:cs="Arial"/>
          <w:b/>
          <w:bCs/>
          <w:color w:val="1B1B1B"/>
          <w:sz w:val="23"/>
          <w:szCs w:val="23"/>
          <w:lang w:eastAsia="cs-CZ"/>
        </w:rPr>
        <w:t>lm</w:t>
      </w:r>
      <w:proofErr w:type="spellEnd"/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. </w:t>
      </w:r>
    </w:p>
    <w:p w14:paraId="6A1991EC" w14:textId="21672B81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Nejefektivnější rozdělení světel a hlavně rovnoměrné osvětlení celého prostoru je využití </w:t>
      </w:r>
      <w:r w:rsidRPr="002A0C31">
        <w:rPr>
          <w:rFonts w:ascii="Arial" w:eastAsia="Times New Roman" w:hAnsi="Arial" w:cs="Arial"/>
          <w:b/>
          <w:bCs/>
          <w:color w:val="1B1B1B"/>
          <w:sz w:val="23"/>
          <w:szCs w:val="23"/>
          <w:lang w:eastAsia="cs-CZ"/>
        </w:rPr>
        <w:t xml:space="preserve">6 světel po 200 </w:t>
      </w:r>
      <w:proofErr w:type="spellStart"/>
      <w:r w:rsidRPr="002A0C31">
        <w:rPr>
          <w:rFonts w:ascii="Arial" w:eastAsia="Times New Roman" w:hAnsi="Arial" w:cs="Arial"/>
          <w:b/>
          <w:bCs/>
          <w:color w:val="1B1B1B"/>
          <w:sz w:val="23"/>
          <w:szCs w:val="23"/>
          <w:lang w:eastAsia="cs-CZ"/>
        </w:rPr>
        <w:t>lm</w:t>
      </w:r>
      <w:proofErr w:type="spellEnd"/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. </w:t>
      </w:r>
      <w:r w:rsidRPr="002A0C31">
        <w:rPr>
          <w:rFonts w:ascii="Arial" w:eastAsia="Times New Roman" w:hAnsi="Arial" w:cs="Arial"/>
          <w:noProof/>
          <w:color w:val="1B1B1B"/>
          <w:sz w:val="23"/>
          <w:szCs w:val="23"/>
          <w:lang w:eastAsia="cs-CZ"/>
        </w:rPr>
        <mc:AlternateContent>
          <mc:Choice Requires="wps">
            <w:drawing>
              <wp:inline distT="0" distB="0" distL="0" distR="0" wp14:anchorId="3B32E052" wp14:editId="37ADCB90">
                <wp:extent cx="304800" cy="304800"/>
                <wp:effectExtent l="0" t="0" r="0" b="0"/>
                <wp:docPr id="1" name="Obdélní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3808E3" id="Obdélník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72000251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</w:p>
    <w:p w14:paraId="0565D9BC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  <w:t xml:space="preserve">     </w:t>
      </w:r>
    </w:p>
    <w:p w14:paraId="2F5EC1F6" w14:textId="77777777" w:rsidR="002A0C31" w:rsidRPr="002A0C31" w:rsidRDefault="002A0C31" w:rsidP="002A0C31">
      <w:pPr>
        <w:numPr>
          <w:ilvl w:val="0"/>
          <w:numId w:val="1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>Každý z návrhů je správný, a každý návrh je využitelný</w:t>
      </w:r>
      <w:r w:rsidRPr="002A0C31"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  <w:t xml:space="preserve"> </w:t>
      </w: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 xml:space="preserve">u jiného zařízení místnosti. V prvním případě je rozmístění světel užitelné u místnosti s bílými stěnami a minimem nábytku, centralizovaného spíše ve středu místnosti. </w:t>
      </w:r>
    </w:p>
    <w:p w14:paraId="6143CAD7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</w:p>
    <w:p w14:paraId="00C97718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  <w:t xml:space="preserve">     </w:t>
      </w:r>
    </w:p>
    <w:p w14:paraId="4BEA9727" w14:textId="77777777" w:rsidR="002A0C31" w:rsidRPr="002A0C31" w:rsidRDefault="002A0C31" w:rsidP="002A0C31">
      <w:pPr>
        <w:numPr>
          <w:ilvl w:val="0"/>
          <w:numId w:val="1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>Druhé rozvržení je funkčnější u místností, které mají nábytek rozmístěn do 4 zákoutí s centrálním spíše průchodným místem.</w:t>
      </w:r>
    </w:p>
    <w:p w14:paraId="01B59F4B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</w:p>
    <w:p w14:paraId="2FACC34F" w14:textId="77777777" w:rsidR="002A0C31" w:rsidRPr="002A0C31" w:rsidRDefault="002A0C31" w:rsidP="002A0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  <w:t xml:space="preserve">     </w:t>
      </w:r>
    </w:p>
    <w:p w14:paraId="11CD76FC" w14:textId="77777777" w:rsidR="002A0C31" w:rsidRPr="002A0C31" w:rsidRDefault="002A0C31" w:rsidP="002A0C31">
      <w:pPr>
        <w:numPr>
          <w:ilvl w:val="0"/>
          <w:numId w:val="1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1395"/>
        <w:textAlignment w:val="top"/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</w:pP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>Třetí návrh využívá 6 světel rozmístěných rovnoměrně po celé</w:t>
      </w:r>
      <w:r w:rsidRPr="002A0C31">
        <w:rPr>
          <w:rFonts w:ascii="Courier New" w:eastAsia="Times New Roman" w:hAnsi="Courier New" w:cs="Courier New"/>
          <w:color w:val="1B1B1B"/>
          <w:sz w:val="23"/>
          <w:szCs w:val="23"/>
          <w:lang w:eastAsia="cs-CZ"/>
        </w:rPr>
        <w:t xml:space="preserve"> </w:t>
      </w:r>
      <w:r w:rsidRPr="002A0C31">
        <w:rPr>
          <w:rFonts w:ascii="Arial" w:eastAsia="Times New Roman" w:hAnsi="Arial" w:cs="Arial"/>
          <w:color w:val="1B1B1B"/>
          <w:sz w:val="23"/>
          <w:szCs w:val="23"/>
          <w:lang w:eastAsia="cs-CZ"/>
        </w:rPr>
        <w:t>místnosti. Osvětlení všech částí je všude stejné, dbá na osvícení všech zákoutí i středu a je využitelné v místnostech, jimiž jsou např. pracovny nebo dětské herny</w:t>
      </w:r>
    </w:p>
    <w:p w14:paraId="0BC3E9C1" w14:textId="244421D4" w:rsidR="004268A2" w:rsidRDefault="004268A2"/>
    <w:p w14:paraId="208FF32A" w14:textId="4D704941" w:rsidR="003D4339" w:rsidRDefault="003D4339"/>
    <w:p w14:paraId="78A88A57" w14:textId="77777777" w:rsidR="003D4339" w:rsidRPr="005F008D" w:rsidRDefault="003D4339" w:rsidP="003D4339">
      <w:pPr>
        <w:pStyle w:val="Nadpis1"/>
        <w:jc w:val="center"/>
        <w:rPr>
          <w:rFonts w:eastAsia="Times New Roman"/>
          <w:b/>
          <w:bCs/>
          <w:color w:val="auto"/>
          <w:lang w:eastAsia="cs-CZ"/>
        </w:rPr>
      </w:pPr>
      <w:r w:rsidRPr="005F008D">
        <w:rPr>
          <w:rFonts w:eastAsia="Times New Roman"/>
          <w:b/>
          <w:bCs/>
          <w:color w:val="auto"/>
          <w:lang w:eastAsia="cs-CZ"/>
        </w:rPr>
        <w:t>Výpočet osvětlení místnosti</w:t>
      </w:r>
    </w:p>
    <w:p w14:paraId="74D031CD" w14:textId="77777777" w:rsidR="003D4339" w:rsidRPr="005F008D" w:rsidRDefault="003D4339" w:rsidP="003D4339">
      <w:pPr>
        <w:shd w:val="clear" w:color="auto" w:fill="FFFFFF"/>
        <w:spacing w:after="165" w:line="240" w:lineRule="auto"/>
        <w:rPr>
          <w:rFonts w:ascii="Arial" w:eastAsia="Times New Roman" w:hAnsi="Arial" w:cs="Arial"/>
          <w:color w:val="646363"/>
          <w:sz w:val="24"/>
          <w:szCs w:val="24"/>
          <w:lang w:eastAsia="cs-CZ"/>
        </w:rPr>
      </w:pPr>
      <w:r w:rsidRPr="005F008D">
        <w:rPr>
          <w:rFonts w:ascii="Arial" w:eastAsia="Times New Roman" w:hAnsi="Arial" w:cs="Arial"/>
          <w:color w:val="646363"/>
          <w:sz w:val="24"/>
          <w:szCs w:val="24"/>
          <w:lang w:eastAsia="cs-CZ"/>
        </w:rPr>
        <w:t>Ideální intenzita osvětlení v kanceláři je 500 luxů. Pokud si chcete alespoň orientačně vypočítat, jestli je vaše pracovní místo osvětleno tak, jak by mělo, </w:t>
      </w:r>
      <w:r w:rsidRPr="005F008D">
        <w:rPr>
          <w:rFonts w:ascii="Arial" w:eastAsia="Times New Roman" w:hAnsi="Arial" w:cs="Arial"/>
          <w:b/>
          <w:bCs/>
          <w:color w:val="646363"/>
          <w:sz w:val="24"/>
          <w:szCs w:val="24"/>
          <w:lang w:eastAsia="cs-CZ"/>
        </w:rPr>
        <w:t>zkuste výpočet intenzity osvětlení místnosti</w:t>
      </w:r>
      <w:r w:rsidRPr="005F008D">
        <w:rPr>
          <w:rFonts w:ascii="Arial" w:eastAsia="Times New Roman" w:hAnsi="Arial" w:cs="Arial"/>
          <w:color w:val="646363"/>
          <w:sz w:val="24"/>
          <w:szCs w:val="24"/>
          <w:lang w:eastAsia="cs-CZ"/>
        </w:rPr>
        <w:t>.</w:t>
      </w:r>
    </w:p>
    <w:p w14:paraId="72136B99" w14:textId="77777777" w:rsidR="003D4339" w:rsidRPr="005F008D" w:rsidRDefault="003D4339" w:rsidP="003D43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46363"/>
          <w:sz w:val="24"/>
          <w:szCs w:val="24"/>
          <w:lang w:eastAsia="cs-CZ"/>
        </w:rPr>
      </w:pPr>
      <w:r w:rsidRPr="005F008D">
        <w:rPr>
          <w:rFonts w:ascii="Arial" w:eastAsia="Times New Roman" w:hAnsi="Arial" w:cs="Arial"/>
          <w:color w:val="646363"/>
          <w:sz w:val="24"/>
          <w:szCs w:val="24"/>
          <w:lang w:eastAsia="cs-CZ"/>
        </w:rPr>
        <w:t>Sečtěte světelný tok žárovek a LED svítidel v místnosti v lumenech. Potřebný údaj (světelný tok) najdete na krabičce.</w:t>
      </w:r>
    </w:p>
    <w:p w14:paraId="6E13BC99" w14:textId="77777777" w:rsidR="003D4339" w:rsidRPr="005F008D" w:rsidRDefault="003D4339" w:rsidP="003D43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46363"/>
          <w:sz w:val="24"/>
          <w:szCs w:val="24"/>
          <w:lang w:eastAsia="cs-CZ"/>
        </w:rPr>
      </w:pPr>
      <w:r w:rsidRPr="005F008D">
        <w:rPr>
          <w:rFonts w:ascii="Arial" w:eastAsia="Times New Roman" w:hAnsi="Arial" w:cs="Arial"/>
          <w:color w:val="646363"/>
          <w:sz w:val="24"/>
          <w:szCs w:val="24"/>
          <w:lang w:eastAsia="cs-CZ"/>
        </w:rPr>
        <w:t>Poté číslo vydělte rozměrem místnosti v metrech čtverečních.</w:t>
      </w:r>
    </w:p>
    <w:p w14:paraId="063728B4" w14:textId="77777777" w:rsidR="003D4339" w:rsidRPr="005F008D" w:rsidRDefault="003D4339" w:rsidP="003D43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46363"/>
          <w:sz w:val="24"/>
          <w:szCs w:val="24"/>
          <w:lang w:eastAsia="cs-CZ"/>
        </w:rPr>
      </w:pPr>
      <w:r w:rsidRPr="005F008D">
        <w:rPr>
          <w:rFonts w:ascii="Arial" w:eastAsia="Times New Roman" w:hAnsi="Arial" w:cs="Arial"/>
          <w:color w:val="646363"/>
          <w:sz w:val="24"/>
          <w:szCs w:val="24"/>
          <w:lang w:eastAsia="cs-CZ"/>
        </w:rPr>
        <w:t>Pokud je číslo nižší než 300, měli byste přinejmenším zvážit pořízení stolní LED lampy.</w:t>
      </w:r>
    </w:p>
    <w:p w14:paraId="67B728E3" w14:textId="02254E1B" w:rsidR="003D4339" w:rsidRDefault="003D4339"/>
    <w:p w14:paraId="1E6C3FCE" w14:textId="77777777" w:rsidR="00AA71AB" w:rsidRDefault="00AA71AB" w:rsidP="00AA71AB">
      <w:pPr>
        <w:pStyle w:val="Nadpis2"/>
        <w:shd w:val="clear" w:color="auto" w:fill="FFFFFF"/>
        <w:spacing w:before="0" w:line="390" w:lineRule="atLeast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b/>
          <w:bCs/>
          <w:color w:val="1B1B1B"/>
        </w:rPr>
        <w:lastRenderedPageBreak/>
        <w:t>Rychlý tahák pro výpočet potřebného množství světla</w:t>
      </w:r>
    </w:p>
    <w:p w14:paraId="39D87D68" w14:textId="77777777" w:rsidR="00AA71AB" w:rsidRDefault="00AA71AB" w:rsidP="00AA71AB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 Každý </w:t>
      </w:r>
      <w:hyperlink r:id="rId5" w:tgtFrame="_blank" w:history="1">
        <w:r>
          <w:rPr>
            <w:rStyle w:val="Hypertextovodkaz"/>
            <w:rFonts w:ascii="Arial" w:hAnsi="Arial" w:cs="Arial"/>
            <w:color w:val="041E42"/>
            <w:sz w:val="23"/>
            <w:szCs w:val="23"/>
          </w:rPr>
          <w:t>světelný zdroj</w:t>
        </w:r>
      </w:hyperlink>
      <w:r>
        <w:rPr>
          <w:rFonts w:ascii="Arial" w:hAnsi="Arial" w:cs="Arial"/>
          <w:color w:val="1B1B1B"/>
          <w:sz w:val="23"/>
          <w:szCs w:val="23"/>
        </w:rPr>
        <w:t>, tedy </w:t>
      </w:r>
      <w:hyperlink r:id="rId6" w:tgtFrame="_blank" w:history="1">
        <w:r>
          <w:rPr>
            <w:rStyle w:val="Hypertextovodkaz"/>
            <w:rFonts w:ascii="Arial" w:hAnsi="Arial" w:cs="Arial"/>
            <w:b/>
            <w:bCs/>
            <w:color w:val="041E42"/>
            <w:sz w:val="23"/>
            <w:szCs w:val="23"/>
          </w:rPr>
          <w:t>žárovka</w:t>
        </w:r>
      </w:hyperlink>
      <w:r>
        <w:rPr>
          <w:rFonts w:ascii="Arial" w:hAnsi="Arial" w:cs="Arial"/>
          <w:color w:val="1B1B1B"/>
          <w:sz w:val="23"/>
          <w:szCs w:val="23"/>
        </w:rPr>
        <w:t> nebo </w:t>
      </w:r>
      <w:hyperlink r:id="rId7" w:tgtFrame="_blank" w:history="1">
        <w:r>
          <w:rPr>
            <w:rStyle w:val="Siln"/>
            <w:rFonts w:ascii="Arial" w:eastAsiaTheme="majorEastAsia" w:hAnsi="Arial" w:cs="Arial"/>
            <w:color w:val="041E42"/>
            <w:sz w:val="23"/>
            <w:szCs w:val="23"/>
            <w:u w:val="single"/>
          </w:rPr>
          <w:t>zářivka</w:t>
        </w:r>
      </w:hyperlink>
      <w:r>
        <w:rPr>
          <w:rFonts w:ascii="Arial" w:hAnsi="Arial" w:cs="Arial"/>
          <w:color w:val="1B1B1B"/>
          <w:sz w:val="23"/>
          <w:szCs w:val="23"/>
        </w:rPr>
        <w:t xml:space="preserve"> je opatřen na obalu mimo jiné informací o svítivosti nebo </w:t>
      </w:r>
      <w:proofErr w:type="spellStart"/>
      <w:r>
        <w:rPr>
          <w:rFonts w:ascii="Arial" w:hAnsi="Arial" w:cs="Arial"/>
          <w:color w:val="1B1B1B"/>
          <w:sz w:val="23"/>
          <w:szCs w:val="23"/>
        </w:rPr>
        <w:t>li</w:t>
      </w:r>
      <w:proofErr w:type="spellEnd"/>
      <w:r>
        <w:rPr>
          <w:rFonts w:ascii="Arial" w:hAnsi="Arial" w:cs="Arial"/>
          <w:color w:val="1B1B1B"/>
          <w:sz w:val="23"/>
          <w:szCs w:val="23"/>
        </w:rPr>
        <w:t xml:space="preserve"> světelném toku. </w:t>
      </w:r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>Světelný tok </w:t>
      </w:r>
      <w:r>
        <w:rPr>
          <w:rFonts w:ascii="Arial" w:hAnsi="Arial" w:cs="Arial"/>
          <w:color w:val="1B1B1B"/>
          <w:sz w:val="23"/>
          <w:szCs w:val="23"/>
        </w:rPr>
        <w:t>má jednotku </w:t>
      </w:r>
      <w:proofErr w:type="spellStart"/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>lm</w:t>
      </w:r>
      <w:proofErr w:type="spellEnd"/>
      <w:r>
        <w:rPr>
          <w:rFonts w:ascii="Arial" w:hAnsi="Arial" w:cs="Arial"/>
          <w:color w:val="1B1B1B"/>
          <w:sz w:val="23"/>
          <w:szCs w:val="23"/>
        </w:rPr>
        <w:t xml:space="preserve"> (Lumen). Další hodnoty uvedené na </w:t>
      </w:r>
      <w:proofErr w:type="spellStart"/>
      <w:r>
        <w:rPr>
          <w:rFonts w:ascii="Arial" w:hAnsi="Arial" w:cs="Arial"/>
          <w:color w:val="1B1B1B"/>
          <w:sz w:val="23"/>
          <w:szCs w:val="23"/>
        </w:rPr>
        <w:t>oblech</w:t>
      </w:r>
      <w:proofErr w:type="spellEnd"/>
      <w:r>
        <w:rPr>
          <w:rFonts w:ascii="Arial" w:hAnsi="Arial" w:cs="Arial"/>
          <w:color w:val="1B1B1B"/>
          <w:sz w:val="23"/>
          <w:szCs w:val="23"/>
        </w:rPr>
        <w:t xml:space="preserve"> světelných zdrojů jsou shrnuty v článku </w:t>
      </w:r>
      <w:hyperlink r:id="rId8" w:tgtFrame="_blank" w:history="1">
        <w:r>
          <w:rPr>
            <w:rStyle w:val="Hypertextovodkaz"/>
            <w:rFonts w:ascii="Arial" w:hAnsi="Arial" w:cs="Arial"/>
            <w:b/>
            <w:bCs/>
            <w:color w:val="041E42"/>
            <w:sz w:val="23"/>
            <w:szCs w:val="23"/>
          </w:rPr>
          <w:t>Co lze vyčíst na krabičce žárovky?</w:t>
        </w:r>
      </w:hyperlink>
    </w:p>
    <w:p w14:paraId="2BC964E1" w14:textId="631D622D" w:rsidR="00AA71AB" w:rsidRDefault="00AA71AB" w:rsidP="00AA71AB">
      <w:pPr>
        <w:shd w:val="clear" w:color="auto" w:fill="FFFFFF"/>
        <w:jc w:val="center"/>
        <w:rPr>
          <w:rFonts w:ascii="Arial" w:hAnsi="Arial" w:cs="Arial"/>
          <w:color w:val="1B1B1B"/>
          <w:sz w:val="23"/>
          <w:szCs w:val="23"/>
        </w:rPr>
      </w:pPr>
    </w:p>
    <w:p w14:paraId="682FDC0F" w14:textId="77777777" w:rsidR="00AA71AB" w:rsidRDefault="00AA71AB" w:rsidP="00AA71AB">
      <w:pPr>
        <w:shd w:val="clear" w:color="auto" w:fill="FFFFFF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 </w:t>
      </w:r>
    </w:p>
    <w:p w14:paraId="0F1A20DD" w14:textId="77777777" w:rsidR="00AA71AB" w:rsidRDefault="00AA71AB" w:rsidP="00AA71AB">
      <w:pPr>
        <w:shd w:val="clear" w:color="auto" w:fill="FFFFFF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Style w:val="Zdraznn"/>
          <w:rFonts w:ascii="Arial" w:hAnsi="Arial" w:cs="Arial"/>
          <w:color w:val="1B1B1B"/>
          <w:sz w:val="23"/>
          <w:szCs w:val="23"/>
        </w:rPr>
        <w:t>Orientační hodnoty svítivost podle druhu osvětlení v lumenech (</w:t>
      </w:r>
      <w:proofErr w:type="spellStart"/>
      <w:r>
        <w:rPr>
          <w:rStyle w:val="Zdraznn"/>
          <w:rFonts w:ascii="Arial" w:hAnsi="Arial" w:cs="Arial"/>
          <w:color w:val="1B1B1B"/>
          <w:sz w:val="23"/>
          <w:szCs w:val="23"/>
        </w:rPr>
        <w:t>lm</w:t>
      </w:r>
      <w:proofErr w:type="spellEnd"/>
      <w:r>
        <w:rPr>
          <w:rStyle w:val="Zdraznn"/>
          <w:rFonts w:ascii="Arial" w:hAnsi="Arial" w:cs="Arial"/>
          <w:color w:val="1B1B1B"/>
          <w:sz w:val="23"/>
          <w:szCs w:val="23"/>
        </w:rPr>
        <w:t>):</w:t>
      </w:r>
    </w:p>
    <w:p w14:paraId="786B89F6" w14:textId="6452CC12" w:rsidR="00AA71AB" w:rsidRDefault="00AA71AB" w:rsidP="00AA71AB">
      <w:r>
        <w:t>130-240lm  </w:t>
      </w:r>
      <w:r>
        <w:t xml:space="preserve">   </w:t>
      </w:r>
      <w:r>
        <w:t>-dekorační</w:t>
      </w:r>
      <w:r>
        <w:t xml:space="preserve"> </w:t>
      </w:r>
      <w:r>
        <w:t>světlo</w:t>
      </w:r>
      <w:r>
        <w:br/>
        <w:t>250lm</w:t>
      </w:r>
      <w:r>
        <w:t xml:space="preserve">             </w:t>
      </w:r>
      <w:r>
        <w:t>-stolní</w:t>
      </w:r>
      <w:r>
        <w:t xml:space="preserve"> </w:t>
      </w:r>
      <w:r>
        <w:t>lampičky</w:t>
      </w:r>
      <w:r>
        <w:br/>
        <w:t xml:space="preserve">400 </w:t>
      </w:r>
      <w:proofErr w:type="spellStart"/>
      <w:r>
        <w:t>lm</w:t>
      </w:r>
      <w:proofErr w:type="spellEnd"/>
      <w:r>
        <w:t>            - bodová světla</w:t>
      </w:r>
      <w:r>
        <w:br/>
        <w:t xml:space="preserve">800 </w:t>
      </w:r>
      <w:proofErr w:type="spellStart"/>
      <w:r>
        <w:t>lm</w:t>
      </w:r>
      <w:proofErr w:type="spellEnd"/>
      <w:r>
        <w:t>            - lustr a hlavní osvětlení místnosti</w:t>
      </w:r>
      <w:r>
        <w:br/>
        <w:t xml:space="preserve">900 </w:t>
      </w:r>
      <w:proofErr w:type="spellStart"/>
      <w:r>
        <w:t>lm</w:t>
      </w:r>
      <w:proofErr w:type="spellEnd"/>
      <w:r>
        <w:t xml:space="preserve"> a víc   - prostředí náročná na osvětlení</w:t>
      </w:r>
    </w:p>
    <w:p w14:paraId="50988DBD" w14:textId="77777777" w:rsidR="00AA71AB" w:rsidRDefault="00AA71AB" w:rsidP="00AA71AB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b/>
          <w:bCs/>
          <w:color w:val="1B1B1B"/>
          <w:sz w:val="23"/>
          <w:szCs w:val="23"/>
        </w:rPr>
        <w:br/>
      </w:r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>Světelný tok </w:t>
      </w:r>
      <w:hyperlink r:id="rId9" w:tgtFrame="_blank" w:history="1">
        <w:r>
          <w:rPr>
            <w:rStyle w:val="Hypertextovodkaz"/>
            <w:rFonts w:ascii="Arial" w:hAnsi="Arial" w:cs="Arial"/>
            <w:b/>
            <w:bCs/>
            <w:color w:val="041E42"/>
            <w:sz w:val="23"/>
            <w:szCs w:val="23"/>
          </w:rPr>
          <w:t>zdroje</w:t>
        </w:r>
      </w:hyperlink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> budeme potřebovat pro výpočet, stejně jako údaj o výměře osvětlované plochy v m²</w:t>
      </w:r>
      <w:r>
        <w:rPr>
          <w:rFonts w:ascii="Arial" w:hAnsi="Arial" w:cs="Arial"/>
          <w:color w:val="1B1B1B"/>
          <w:sz w:val="23"/>
          <w:szCs w:val="23"/>
        </w:rPr>
        <w:t>.</w:t>
      </w:r>
    </w:p>
    <w:p w14:paraId="078270BE" w14:textId="77777777" w:rsidR="00AA71AB" w:rsidRDefault="00AA71AB" w:rsidP="00AA71AB">
      <w:pPr>
        <w:shd w:val="clear" w:color="auto" w:fill="FFFFFF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Doporučení ČSN uvádí průměrné hodnoty intenzity osvětlení v </w:t>
      </w:r>
      <w:proofErr w:type="spellStart"/>
      <w:r>
        <w:rPr>
          <w:rFonts w:ascii="Arial" w:hAnsi="Arial" w:cs="Arial"/>
          <w:color w:val="1B1B1B"/>
          <w:sz w:val="23"/>
          <w:szCs w:val="23"/>
        </w:rPr>
        <w:t>lx</w:t>
      </w:r>
      <w:proofErr w:type="spellEnd"/>
      <w:r>
        <w:rPr>
          <w:rFonts w:ascii="Arial" w:hAnsi="Arial" w:cs="Arial"/>
          <w:color w:val="1B1B1B"/>
          <w:sz w:val="23"/>
          <w:szCs w:val="23"/>
        </w:rPr>
        <w:t xml:space="preserve"> (Lux), výňatek je uveden v tabulce níže.</w:t>
      </w:r>
    </w:p>
    <w:p w14:paraId="322BDDC6" w14:textId="77777777" w:rsidR="00AA71AB" w:rsidRDefault="00AA71AB" w:rsidP="00AA71AB">
      <w:pPr>
        <w:shd w:val="clear" w:color="auto" w:fill="FFFFFF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 </w:t>
      </w:r>
    </w:p>
    <w:p w14:paraId="57E7C9F9" w14:textId="77777777" w:rsidR="00AA71AB" w:rsidRDefault="00AA71AB" w:rsidP="00AA71AB">
      <w:pPr>
        <w:shd w:val="clear" w:color="auto" w:fill="FFFFFF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Style w:val="Zdraznn"/>
          <w:rFonts w:ascii="Arial" w:hAnsi="Arial" w:cs="Arial"/>
          <w:color w:val="1B1B1B"/>
          <w:sz w:val="23"/>
          <w:szCs w:val="23"/>
        </w:rPr>
        <w:t>Doporučená průměrná intenzita osvětlení prostoru nebo činnosti podle norem ČSN v luxech (</w:t>
      </w:r>
      <w:proofErr w:type="spellStart"/>
      <w:r>
        <w:rPr>
          <w:rStyle w:val="Zdraznn"/>
          <w:rFonts w:ascii="Arial" w:hAnsi="Arial" w:cs="Arial"/>
          <w:color w:val="1B1B1B"/>
          <w:sz w:val="23"/>
          <w:szCs w:val="23"/>
        </w:rPr>
        <w:t>lx</w:t>
      </w:r>
      <w:proofErr w:type="spellEnd"/>
      <w:r>
        <w:rPr>
          <w:rStyle w:val="Zdraznn"/>
          <w:rFonts w:ascii="Arial" w:hAnsi="Arial" w:cs="Arial"/>
          <w:color w:val="1B1B1B"/>
          <w:sz w:val="23"/>
          <w:szCs w:val="23"/>
        </w:rPr>
        <w:t>): </w:t>
      </w:r>
    </w:p>
    <w:tbl>
      <w:tblPr>
        <w:tblW w:w="136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9"/>
        <w:gridCol w:w="10361"/>
      </w:tblGrid>
      <w:tr w:rsidR="00AA71AB" w14:paraId="7C89208B" w14:textId="77777777" w:rsidTr="00AA71AB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C3583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Style w:val="Siln"/>
                <w:rFonts w:ascii="Arial" w:eastAsiaTheme="majorEastAsia" w:hAnsi="Arial" w:cs="Arial"/>
                <w:color w:val="3A3A3A"/>
                <w:sz w:val="23"/>
                <w:szCs w:val="23"/>
              </w:rPr>
              <w:t>Intenzita osvětlení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DDD8D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Style w:val="Siln"/>
                <w:rFonts w:ascii="Arial" w:eastAsiaTheme="majorEastAsia" w:hAnsi="Arial" w:cs="Arial"/>
                <w:color w:val="3A3A3A"/>
                <w:sz w:val="23"/>
                <w:szCs w:val="23"/>
              </w:rPr>
              <w:t>Prostory pro osvětlení</w:t>
            </w:r>
          </w:p>
        </w:tc>
      </w:tr>
      <w:tr w:rsidR="00AA71AB" w14:paraId="3FEB8FCD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268C9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50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ABD43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sklepy, podzemní tunely</w:t>
            </w:r>
          </w:p>
        </w:tc>
      </w:tr>
      <w:tr w:rsidR="00AA71AB" w14:paraId="146BE499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88ADB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75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3D62A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parkovací prostory a garáže</w:t>
            </w:r>
          </w:p>
        </w:tc>
      </w:tr>
      <w:tr w:rsidR="00AA71AB" w14:paraId="21457725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D852C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A9652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komunikační prostory, chodby, odpočívárny, skladiště</w:t>
            </w:r>
          </w:p>
        </w:tc>
      </w:tr>
      <w:tr w:rsidR="00AA71AB" w14:paraId="587C88C7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8987E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150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EC947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schodiště, předsíně se zrcadly, garáže s dílnou</w:t>
            </w:r>
          </w:p>
        </w:tc>
      </w:tr>
      <w:tr w:rsidR="00AA71AB" w14:paraId="10B752AA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81362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200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C6F51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spíže, šatny, koupelny, toalety, jídelny, čekárny,</w:t>
            </w:r>
          </w:p>
        </w:tc>
      </w:tr>
      <w:tr w:rsidR="00AA71AB" w14:paraId="220CF36B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B0E3C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300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E02C4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čtení, dětský pokoj, herna, učebna, prádelny, kanceláře</w:t>
            </w:r>
          </w:p>
        </w:tc>
      </w:tr>
      <w:tr w:rsidR="00AA71AB" w14:paraId="04DD23D5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31E05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500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390F7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kuchyňské linky, učebny s tabulí, ošetřovny</w:t>
            </w:r>
          </w:p>
        </w:tc>
      </w:tr>
      <w:tr w:rsidR="00AA71AB" w14:paraId="74AE7517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45C86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1000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E58B8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operační sály</w:t>
            </w:r>
          </w:p>
        </w:tc>
      </w:tr>
      <w:tr w:rsidR="00AA71AB" w14:paraId="5EC6674B" w14:textId="77777777" w:rsidTr="00AA71A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EE2EC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 xml:space="preserve">1500 </w:t>
            </w:r>
            <w:proofErr w:type="spellStart"/>
            <w:r>
              <w:rPr>
                <w:rFonts w:ascii="Arial" w:hAnsi="Arial" w:cs="Arial"/>
                <w:color w:val="3A3A3A"/>
                <w:sz w:val="23"/>
                <w:szCs w:val="23"/>
              </w:rPr>
              <w:t>lx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6" w:space="0" w:color="C8D3D8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46369" w14:textId="77777777" w:rsidR="00AA71AB" w:rsidRDefault="00AA71AB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3A3A3A"/>
                <w:sz w:val="23"/>
                <w:szCs w:val="23"/>
              </w:rPr>
            </w:pPr>
            <w:r>
              <w:rPr>
                <w:rFonts w:ascii="Arial" w:hAnsi="Arial" w:cs="Arial"/>
                <w:color w:val="3A3A3A"/>
                <w:sz w:val="23"/>
                <w:szCs w:val="23"/>
              </w:rPr>
              <w:t>jemná výroba (hodinky, šperky)</w:t>
            </w:r>
          </w:p>
        </w:tc>
      </w:tr>
    </w:tbl>
    <w:p w14:paraId="7C759244" w14:textId="77777777" w:rsidR="00AA71AB" w:rsidRDefault="00AA71AB" w:rsidP="00AA71AB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 Vztah mezi</w:t>
      </w:r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> </w:t>
      </w:r>
      <w:hyperlink r:id="rId10" w:tgtFrame="_blank" w:history="1">
        <w:r>
          <w:rPr>
            <w:rStyle w:val="Siln"/>
            <w:rFonts w:ascii="Arial" w:eastAsiaTheme="majorEastAsia" w:hAnsi="Arial" w:cs="Arial"/>
            <w:color w:val="041E42"/>
            <w:sz w:val="23"/>
            <w:szCs w:val="23"/>
            <w:u w:val="single"/>
          </w:rPr>
          <w:t>intenzitou osvětlení </w:t>
        </w:r>
        <w:r>
          <w:rPr>
            <w:rStyle w:val="Hypertextovodkaz"/>
            <w:rFonts w:ascii="Arial" w:hAnsi="Arial" w:cs="Arial"/>
            <w:color w:val="041E42"/>
            <w:sz w:val="23"/>
            <w:szCs w:val="23"/>
          </w:rPr>
          <w:t xml:space="preserve">(zkratka </w:t>
        </w:r>
        <w:proofErr w:type="spellStart"/>
        <w:r>
          <w:rPr>
            <w:rStyle w:val="Hypertextovodkaz"/>
            <w:rFonts w:ascii="Arial" w:hAnsi="Arial" w:cs="Arial"/>
            <w:color w:val="041E42"/>
            <w:sz w:val="23"/>
            <w:szCs w:val="23"/>
          </w:rPr>
          <w:t>lx</w:t>
        </w:r>
        <w:proofErr w:type="spellEnd"/>
        <w:r>
          <w:rPr>
            <w:rStyle w:val="Hypertextovodkaz"/>
            <w:rFonts w:ascii="Arial" w:hAnsi="Arial" w:cs="Arial"/>
            <w:color w:val="041E42"/>
            <w:sz w:val="23"/>
            <w:szCs w:val="23"/>
          </w:rPr>
          <w:t>) a </w:t>
        </w:r>
        <w:r>
          <w:rPr>
            <w:rStyle w:val="Siln"/>
            <w:rFonts w:ascii="Arial" w:eastAsiaTheme="majorEastAsia" w:hAnsi="Arial" w:cs="Arial"/>
            <w:color w:val="041E42"/>
            <w:sz w:val="23"/>
            <w:szCs w:val="23"/>
            <w:u w:val="single"/>
          </w:rPr>
          <w:t>světelným tokem </w:t>
        </w:r>
        <w:r>
          <w:rPr>
            <w:rStyle w:val="Hypertextovodkaz"/>
            <w:rFonts w:ascii="Arial" w:hAnsi="Arial" w:cs="Arial"/>
            <w:color w:val="041E42"/>
            <w:sz w:val="23"/>
            <w:szCs w:val="23"/>
          </w:rPr>
          <w:t xml:space="preserve">(zkratka </w:t>
        </w:r>
        <w:proofErr w:type="spellStart"/>
        <w:r>
          <w:rPr>
            <w:rStyle w:val="Hypertextovodkaz"/>
            <w:rFonts w:ascii="Arial" w:hAnsi="Arial" w:cs="Arial"/>
            <w:color w:val="041E42"/>
            <w:sz w:val="23"/>
            <w:szCs w:val="23"/>
          </w:rPr>
          <w:t>lm</w:t>
        </w:r>
        <w:proofErr w:type="spellEnd"/>
        <w:r>
          <w:rPr>
            <w:rStyle w:val="Hypertextovodkaz"/>
            <w:rFonts w:ascii="Arial" w:hAnsi="Arial" w:cs="Arial"/>
            <w:color w:val="041E42"/>
            <w:sz w:val="23"/>
            <w:szCs w:val="23"/>
          </w:rPr>
          <w:t>)</w:t>
        </w:r>
      </w:hyperlink>
      <w:r>
        <w:rPr>
          <w:rFonts w:ascii="Arial" w:hAnsi="Arial" w:cs="Arial"/>
          <w:color w:val="1B1B1B"/>
          <w:sz w:val="23"/>
          <w:szCs w:val="23"/>
        </w:rPr>
        <w:t>, je </w:t>
      </w:r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 xml:space="preserve">1 </w:t>
      </w:r>
      <w:proofErr w:type="spellStart"/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>lx</w:t>
      </w:r>
      <w:proofErr w:type="spellEnd"/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 xml:space="preserve"> = 1 </w:t>
      </w:r>
      <w:proofErr w:type="spellStart"/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>lm</w:t>
      </w:r>
      <w:proofErr w:type="spellEnd"/>
      <w:r>
        <w:rPr>
          <w:rStyle w:val="Siln"/>
          <w:rFonts w:ascii="Arial" w:eastAsiaTheme="majorEastAsia" w:hAnsi="Arial" w:cs="Arial"/>
          <w:color w:val="1B1B1B"/>
          <w:sz w:val="23"/>
          <w:szCs w:val="23"/>
        </w:rPr>
        <w:t>/m²</w:t>
      </w:r>
      <w:r>
        <w:rPr>
          <w:rFonts w:ascii="Arial" w:hAnsi="Arial" w:cs="Arial"/>
          <w:color w:val="1B1B1B"/>
          <w:sz w:val="23"/>
          <w:szCs w:val="23"/>
        </w:rPr>
        <w:t>. </w:t>
      </w:r>
    </w:p>
    <w:p w14:paraId="45793BBB" w14:textId="77777777" w:rsidR="00AA71AB" w:rsidRDefault="00AA71AB" w:rsidP="00AA71AB">
      <w:pPr>
        <w:shd w:val="clear" w:color="auto" w:fill="FFFFFF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 </w:t>
      </w:r>
    </w:p>
    <w:p w14:paraId="7A65BBE6" w14:textId="77777777" w:rsidR="00AA71AB" w:rsidRDefault="00AA71AB" w:rsidP="00AA71AB">
      <w:pPr>
        <w:shd w:val="clear" w:color="auto" w:fill="FFFFFF"/>
        <w:jc w:val="center"/>
        <w:rPr>
          <w:rFonts w:ascii="Arial" w:hAnsi="Arial" w:cs="Arial"/>
          <w:noProof/>
          <w:color w:val="1B1B1B"/>
          <w:sz w:val="23"/>
          <w:szCs w:val="23"/>
        </w:rPr>
      </w:pPr>
    </w:p>
    <w:p w14:paraId="41B8E9F2" w14:textId="77777777" w:rsidR="00AA71AB" w:rsidRDefault="00AA71AB" w:rsidP="00AA71AB">
      <w:pPr>
        <w:shd w:val="clear" w:color="auto" w:fill="FFFFFF"/>
        <w:jc w:val="center"/>
        <w:rPr>
          <w:rFonts w:ascii="Arial" w:hAnsi="Arial" w:cs="Arial"/>
          <w:noProof/>
          <w:color w:val="1B1B1B"/>
          <w:sz w:val="23"/>
          <w:szCs w:val="23"/>
        </w:rPr>
      </w:pPr>
    </w:p>
    <w:p w14:paraId="3D354442" w14:textId="77777777" w:rsidR="00AA71AB" w:rsidRDefault="00AA71AB" w:rsidP="00AA71AB">
      <w:pPr>
        <w:shd w:val="clear" w:color="auto" w:fill="FFFFFF"/>
        <w:jc w:val="center"/>
        <w:rPr>
          <w:rFonts w:ascii="Arial" w:hAnsi="Arial" w:cs="Arial"/>
          <w:noProof/>
          <w:color w:val="1B1B1B"/>
          <w:sz w:val="23"/>
          <w:szCs w:val="23"/>
        </w:rPr>
      </w:pPr>
    </w:p>
    <w:p w14:paraId="6F2FFFDB" w14:textId="77777777" w:rsidR="00AA71AB" w:rsidRDefault="00AA71AB" w:rsidP="00AA71AB">
      <w:pPr>
        <w:shd w:val="clear" w:color="auto" w:fill="FFFFFF"/>
        <w:jc w:val="center"/>
        <w:rPr>
          <w:rFonts w:ascii="Arial" w:hAnsi="Arial" w:cs="Arial"/>
          <w:noProof/>
          <w:color w:val="1B1B1B"/>
          <w:sz w:val="23"/>
          <w:szCs w:val="23"/>
        </w:rPr>
      </w:pPr>
    </w:p>
    <w:p w14:paraId="42D8C4D5" w14:textId="77777777" w:rsidR="00AA71AB" w:rsidRDefault="00AA71AB" w:rsidP="00AA71AB">
      <w:pPr>
        <w:shd w:val="clear" w:color="auto" w:fill="FFFFFF"/>
        <w:jc w:val="center"/>
        <w:rPr>
          <w:rFonts w:ascii="Arial" w:hAnsi="Arial" w:cs="Arial"/>
          <w:noProof/>
          <w:color w:val="1B1B1B"/>
          <w:sz w:val="23"/>
          <w:szCs w:val="23"/>
        </w:rPr>
      </w:pPr>
    </w:p>
    <w:p w14:paraId="5E74626C" w14:textId="77777777" w:rsidR="00AA71AB" w:rsidRDefault="00AA71AB" w:rsidP="00AA71AB">
      <w:pPr>
        <w:shd w:val="clear" w:color="auto" w:fill="FFFFFF"/>
        <w:jc w:val="center"/>
        <w:rPr>
          <w:rFonts w:ascii="Arial" w:hAnsi="Arial" w:cs="Arial"/>
          <w:noProof/>
          <w:color w:val="1B1B1B"/>
          <w:sz w:val="23"/>
          <w:szCs w:val="23"/>
        </w:rPr>
      </w:pPr>
    </w:p>
    <w:p w14:paraId="56F546AE" w14:textId="1103EBA9" w:rsidR="00AA71AB" w:rsidRDefault="00AA71AB" w:rsidP="00AA71AB">
      <w:pPr>
        <w:shd w:val="clear" w:color="auto" w:fill="FFFFFF"/>
        <w:jc w:val="center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 </w:t>
      </w:r>
    </w:p>
    <w:p w14:paraId="1AA56192" w14:textId="77777777" w:rsidR="00AA71AB" w:rsidRDefault="00AA71AB" w:rsidP="00AA71AB">
      <w:pPr>
        <w:pStyle w:val="Nadpis3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b w:val="0"/>
          <w:bCs w:val="0"/>
          <w:color w:val="1B1B1B"/>
        </w:rPr>
      </w:pPr>
      <w:r>
        <w:rPr>
          <w:rFonts w:ascii="Arial" w:hAnsi="Arial" w:cs="Arial"/>
          <w:b w:val="0"/>
          <w:bCs w:val="0"/>
          <w:color w:val="1B1B1B"/>
        </w:rPr>
        <w:lastRenderedPageBreak/>
        <w:t>Postup výpočtu</w:t>
      </w:r>
    </w:p>
    <w:p w14:paraId="559CE824" w14:textId="77777777" w:rsidR="00AA71AB" w:rsidRDefault="00AA71AB" w:rsidP="00AA71AB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Style w:val="Siln"/>
          <w:rFonts w:ascii="Calibri" w:eastAsiaTheme="majorEastAsia" w:hAnsi="Calibri" w:cs="Calibri"/>
          <w:color w:val="1B1B1B"/>
          <w:sz w:val="36"/>
          <w:szCs w:val="36"/>
        </w:rPr>
        <w:t>potřebné osvětlení = výměra v m² x počet doporučené intenzity osvětlení prostoru v </w:t>
      </w:r>
      <w:proofErr w:type="spellStart"/>
      <w:r>
        <w:rPr>
          <w:rStyle w:val="Siln"/>
          <w:rFonts w:ascii="Calibri" w:eastAsiaTheme="majorEastAsia" w:hAnsi="Calibri" w:cs="Calibri"/>
          <w:color w:val="1B1B1B"/>
          <w:sz w:val="36"/>
          <w:szCs w:val="36"/>
        </w:rPr>
        <w:t>lx</w:t>
      </w:r>
      <w:proofErr w:type="spellEnd"/>
      <w:r>
        <w:rPr>
          <w:rStyle w:val="Siln"/>
          <w:rFonts w:ascii="Calibri" w:eastAsiaTheme="majorEastAsia" w:hAnsi="Calibri" w:cs="Calibri"/>
          <w:color w:val="1B1B1B"/>
          <w:sz w:val="36"/>
          <w:szCs w:val="36"/>
        </w:rPr>
        <w:t xml:space="preserve"> (</w:t>
      </w:r>
      <w:proofErr w:type="spellStart"/>
      <w:r>
        <w:rPr>
          <w:rStyle w:val="Siln"/>
          <w:rFonts w:ascii="Calibri" w:eastAsiaTheme="majorEastAsia" w:hAnsi="Calibri" w:cs="Calibri"/>
          <w:color w:val="1B1B1B"/>
          <w:sz w:val="36"/>
          <w:szCs w:val="36"/>
        </w:rPr>
        <w:t>lm</w:t>
      </w:r>
      <w:proofErr w:type="spellEnd"/>
      <w:r>
        <w:rPr>
          <w:rStyle w:val="Siln"/>
          <w:rFonts w:ascii="Calibri" w:eastAsiaTheme="majorEastAsia" w:hAnsi="Calibri" w:cs="Calibri"/>
          <w:color w:val="1B1B1B"/>
          <w:sz w:val="36"/>
          <w:szCs w:val="36"/>
        </w:rPr>
        <w:t>)</w:t>
      </w:r>
    </w:p>
    <w:p w14:paraId="7F829F91" w14:textId="77777777" w:rsidR="00AA71AB" w:rsidRDefault="00AA71AB" w:rsidP="00AA71AB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 </w:t>
      </w:r>
    </w:p>
    <w:p w14:paraId="51306C7E" w14:textId="77777777" w:rsidR="00AA71AB" w:rsidRDefault="00AA71AB" w:rsidP="00AA71A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395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Style w:val="Siln"/>
          <w:rFonts w:ascii="Arial" w:hAnsi="Arial" w:cs="Arial"/>
          <w:color w:val="1B1B1B"/>
          <w:sz w:val="23"/>
          <w:szCs w:val="23"/>
        </w:rPr>
        <w:t>Vynásobte osvětlovanou plochu lumeny</w:t>
      </w:r>
    </w:p>
    <w:p w14:paraId="49BF107D" w14:textId="77777777" w:rsidR="00AA71AB" w:rsidRDefault="00AA71AB" w:rsidP="00AA71AB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> </w:t>
      </w:r>
    </w:p>
    <w:p w14:paraId="41E868C5" w14:textId="77777777" w:rsidR="00AA71AB" w:rsidRDefault="00AA71AB" w:rsidP="00AA71AB">
      <w:pPr>
        <w:shd w:val="clear" w:color="auto" w:fill="FFFFFF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Style w:val="Zdraznn"/>
          <w:rFonts w:ascii="Arial" w:hAnsi="Arial" w:cs="Arial"/>
          <w:color w:val="1B1B1B"/>
          <w:sz w:val="23"/>
          <w:szCs w:val="23"/>
        </w:rPr>
        <w:t>Příklad: Požadujeme osvětlit kuchyni o výměře 15 m</w:t>
      </w:r>
      <w:r>
        <w:rPr>
          <w:rStyle w:val="Zdraznn"/>
          <w:rFonts w:ascii="Arial" w:hAnsi="Arial" w:cs="Arial"/>
          <w:color w:val="1B1B1B"/>
          <w:sz w:val="17"/>
          <w:szCs w:val="17"/>
          <w:vertAlign w:val="superscript"/>
        </w:rPr>
        <w:t>2</w:t>
      </w:r>
      <w:r>
        <w:rPr>
          <w:rStyle w:val="Zdraznn"/>
          <w:rFonts w:ascii="Arial" w:hAnsi="Arial" w:cs="Arial"/>
          <w:color w:val="1B1B1B"/>
          <w:sz w:val="23"/>
          <w:szCs w:val="23"/>
        </w:rPr>
        <w:t>, plánujeme centrální lustr nad jídelním prostorem 3m</w:t>
      </w:r>
      <w:r>
        <w:rPr>
          <w:rStyle w:val="Zdraznn"/>
          <w:rFonts w:ascii="Arial" w:hAnsi="Arial" w:cs="Arial"/>
          <w:color w:val="1B1B1B"/>
          <w:sz w:val="17"/>
          <w:szCs w:val="17"/>
          <w:vertAlign w:val="superscript"/>
        </w:rPr>
        <w:t>2</w:t>
      </w:r>
      <w:r>
        <w:rPr>
          <w:rStyle w:val="Zdraznn"/>
          <w:rFonts w:ascii="Arial" w:hAnsi="Arial" w:cs="Arial"/>
          <w:color w:val="1B1B1B"/>
          <w:sz w:val="23"/>
          <w:szCs w:val="23"/>
        </w:rPr>
        <w:t xml:space="preserve"> a osvětlení varné a přípravné plochy více zdroji (výměra 6x2 m). V součtu tedy pracujeme s 6600 </w:t>
      </w:r>
      <w:proofErr w:type="spellStart"/>
      <w:r>
        <w:rPr>
          <w:rStyle w:val="Zdraznn"/>
          <w:rFonts w:ascii="Arial" w:hAnsi="Arial" w:cs="Arial"/>
          <w:color w:val="1B1B1B"/>
          <w:sz w:val="23"/>
          <w:szCs w:val="23"/>
        </w:rPr>
        <w:t>lm</w:t>
      </w:r>
      <w:proofErr w:type="spellEnd"/>
      <w:r>
        <w:rPr>
          <w:rStyle w:val="Zdraznn"/>
          <w:rFonts w:ascii="Arial" w:hAnsi="Arial" w:cs="Arial"/>
          <w:color w:val="1B1B1B"/>
          <w:sz w:val="23"/>
          <w:szCs w:val="23"/>
        </w:rPr>
        <w:t xml:space="preserve"> = (3x200 </w:t>
      </w:r>
      <w:proofErr w:type="spellStart"/>
      <w:r>
        <w:rPr>
          <w:rStyle w:val="Zdraznn"/>
          <w:rFonts w:ascii="Arial" w:hAnsi="Arial" w:cs="Arial"/>
          <w:color w:val="1B1B1B"/>
          <w:sz w:val="23"/>
          <w:szCs w:val="23"/>
        </w:rPr>
        <w:t>lm</w:t>
      </w:r>
      <w:proofErr w:type="spellEnd"/>
      <w:r>
        <w:rPr>
          <w:rStyle w:val="Zdraznn"/>
          <w:rFonts w:ascii="Arial" w:hAnsi="Arial" w:cs="Arial"/>
          <w:color w:val="1B1B1B"/>
          <w:sz w:val="23"/>
          <w:szCs w:val="23"/>
        </w:rPr>
        <w:t xml:space="preserve"> + 12x500 </w:t>
      </w:r>
      <w:proofErr w:type="spellStart"/>
      <w:r>
        <w:rPr>
          <w:rStyle w:val="Zdraznn"/>
          <w:rFonts w:ascii="Arial" w:hAnsi="Arial" w:cs="Arial"/>
          <w:color w:val="1B1B1B"/>
          <w:sz w:val="23"/>
          <w:szCs w:val="23"/>
        </w:rPr>
        <w:t>lm</w:t>
      </w:r>
      <w:proofErr w:type="spellEnd"/>
      <w:r>
        <w:rPr>
          <w:rStyle w:val="Zdraznn"/>
          <w:rFonts w:ascii="Arial" w:hAnsi="Arial" w:cs="Arial"/>
          <w:color w:val="1B1B1B"/>
          <w:sz w:val="23"/>
          <w:szCs w:val="23"/>
        </w:rPr>
        <w:t>)</w:t>
      </w:r>
    </w:p>
    <w:p w14:paraId="0C0833D9" w14:textId="77777777" w:rsidR="00AA71AB" w:rsidRDefault="00AA71AB" w:rsidP="00AA71AB">
      <w:pPr>
        <w:pStyle w:val="Nadpis4"/>
        <w:numPr>
          <w:ilvl w:val="0"/>
          <w:numId w:val="4"/>
        </w:numPr>
        <w:shd w:val="clear" w:color="auto" w:fill="FFFFFF"/>
        <w:spacing w:line="330" w:lineRule="atLeast"/>
        <w:ind w:left="1395"/>
        <w:jc w:val="both"/>
        <w:rPr>
          <w:rFonts w:ascii="Arial" w:hAnsi="Arial" w:cs="Arial"/>
          <w:color w:val="1B1B1B"/>
          <w:sz w:val="24"/>
          <w:szCs w:val="24"/>
        </w:rPr>
      </w:pPr>
      <w:r>
        <w:rPr>
          <w:rStyle w:val="Siln"/>
          <w:rFonts w:ascii="Arial" w:hAnsi="Arial" w:cs="Arial"/>
          <w:b w:val="0"/>
          <w:bCs w:val="0"/>
          <w:color w:val="1B1B1B"/>
        </w:rPr>
        <w:t>      Rozpočítejte výsledné lumeny na žárovky</w:t>
      </w:r>
    </w:p>
    <w:p w14:paraId="31B9BCFC" w14:textId="77777777" w:rsidR="00AA71AB" w:rsidRDefault="00AA71AB" w:rsidP="00AA71AB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B1B1B"/>
          <w:sz w:val="23"/>
          <w:szCs w:val="23"/>
        </w:rPr>
      </w:pPr>
      <w:r>
        <w:rPr>
          <w:rFonts w:ascii="Arial" w:hAnsi="Arial" w:cs="Arial"/>
          <w:color w:val="1B1B1B"/>
          <w:sz w:val="23"/>
          <w:szCs w:val="23"/>
        </w:rPr>
        <w:t xml:space="preserve">Kolik a jaké žárovky vyberete, záleží třeba na tom, jaké osvětlení preferujete. Pravděpodobněji se rozhodnete podle dostupného počtu vývodů elektrických kabelů, které už v kuchyni máte. Nad jídelní stůl si pořídíte lustr dvouramenný osázený 2 žárovkami o světelném toku 2 x 300 </w:t>
      </w:r>
      <w:proofErr w:type="spellStart"/>
      <w:r>
        <w:rPr>
          <w:rFonts w:ascii="Arial" w:hAnsi="Arial" w:cs="Arial"/>
          <w:color w:val="1B1B1B"/>
          <w:sz w:val="23"/>
          <w:szCs w:val="23"/>
        </w:rPr>
        <w:t>lm</w:t>
      </w:r>
      <w:proofErr w:type="spellEnd"/>
      <w:r>
        <w:rPr>
          <w:rFonts w:ascii="Arial" w:hAnsi="Arial" w:cs="Arial"/>
          <w:color w:val="1B1B1B"/>
          <w:sz w:val="23"/>
          <w:szCs w:val="23"/>
        </w:rPr>
        <w:t xml:space="preserve">, nebo tříramenný se třemi žárovkami 200 </w:t>
      </w:r>
      <w:proofErr w:type="spellStart"/>
      <w:r>
        <w:rPr>
          <w:rFonts w:ascii="Arial" w:hAnsi="Arial" w:cs="Arial"/>
          <w:color w:val="1B1B1B"/>
          <w:sz w:val="23"/>
          <w:szCs w:val="23"/>
        </w:rPr>
        <w:t>lm</w:t>
      </w:r>
      <w:proofErr w:type="spellEnd"/>
      <w:r>
        <w:rPr>
          <w:rFonts w:ascii="Arial" w:hAnsi="Arial" w:cs="Arial"/>
          <w:color w:val="1B1B1B"/>
          <w:sz w:val="23"/>
          <w:szCs w:val="23"/>
        </w:rPr>
        <w:t xml:space="preserve">. Nad varnou a přípravnou desku pak rozpočítáváme 6000 </w:t>
      </w:r>
      <w:proofErr w:type="spellStart"/>
      <w:r>
        <w:rPr>
          <w:rFonts w:ascii="Arial" w:hAnsi="Arial" w:cs="Arial"/>
          <w:color w:val="1B1B1B"/>
          <w:sz w:val="23"/>
          <w:szCs w:val="23"/>
        </w:rPr>
        <w:t>lm</w:t>
      </w:r>
      <w:proofErr w:type="spellEnd"/>
      <w:r>
        <w:rPr>
          <w:rFonts w:ascii="Arial" w:hAnsi="Arial" w:cs="Arial"/>
          <w:color w:val="1B1B1B"/>
          <w:sz w:val="23"/>
          <w:szCs w:val="23"/>
        </w:rPr>
        <w:t>, v podobě přisazených světel a bodových a lamp.</w:t>
      </w:r>
    </w:p>
    <w:p w14:paraId="6C322205" w14:textId="77777777" w:rsidR="00AA71AB" w:rsidRDefault="00AA71AB"/>
    <w:sectPr w:rsidR="00AA7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407"/>
    <w:multiLevelType w:val="multilevel"/>
    <w:tmpl w:val="F582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2C4E7D"/>
    <w:multiLevelType w:val="multilevel"/>
    <w:tmpl w:val="B3BA8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211695"/>
    <w:multiLevelType w:val="multilevel"/>
    <w:tmpl w:val="11765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A495341"/>
    <w:multiLevelType w:val="multilevel"/>
    <w:tmpl w:val="7020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7900387">
    <w:abstractNumId w:val="0"/>
  </w:num>
  <w:num w:numId="2" w16cid:durableId="1085150710">
    <w:abstractNumId w:val="3"/>
  </w:num>
  <w:num w:numId="3" w16cid:durableId="678433403">
    <w:abstractNumId w:val="2"/>
  </w:num>
  <w:num w:numId="4" w16cid:durableId="448477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C31"/>
    <w:rsid w:val="002A0C31"/>
    <w:rsid w:val="003D4339"/>
    <w:rsid w:val="004268A2"/>
    <w:rsid w:val="00AA71AB"/>
    <w:rsid w:val="00EF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6AE49"/>
  <w15:chartTrackingRefBased/>
  <w15:docId w15:val="{E65917CD-2D94-4F11-B946-75D76748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A0C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A71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A0C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A71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A0C3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A0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A0C3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2A0C31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A0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A0C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A71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A71A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textovodkaz">
    <w:name w:val="Hyperlink"/>
    <w:basedOn w:val="Standardnpsmoodstavce"/>
    <w:uiPriority w:val="99"/>
    <w:semiHidden/>
    <w:unhideWhenUsed/>
    <w:rsid w:val="00AA71AB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AA71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4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5713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vet-svitidel.cz/clanky-detail-co-lze-vycist-na-krabicce-zarovky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vet-svitidel.cz/led-zarivk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vet-svitidel.cz/led-zarovky-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vet-svitidel.cz/svetelne-zdroje-zarovky-zarivky/" TargetMode="External"/><Relationship Id="rId10" Type="http://schemas.openxmlformats.org/officeDocument/2006/relationships/hyperlink" Target="https://www.svet-svitidel.cz/clanky-svetelny-tok-a-intenzita-osvetlen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vet-svitidel.cz/clanky-jak-vybrat-vhodnou-zarovku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815</Words>
  <Characters>4815</Characters>
  <Application>Microsoft Office Word</Application>
  <DocSecurity>0</DocSecurity>
  <Lines>40</Lines>
  <Paragraphs>11</Paragraphs>
  <ScaleCrop>false</ScaleCrop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Gečnuk</dc:creator>
  <cp:keywords/>
  <dc:description/>
  <cp:lastModifiedBy>Vít Gečnuk</cp:lastModifiedBy>
  <cp:revision>4</cp:revision>
  <dcterms:created xsi:type="dcterms:W3CDTF">2022-07-19T11:52:00Z</dcterms:created>
  <dcterms:modified xsi:type="dcterms:W3CDTF">2022-08-24T07:17:00Z</dcterms:modified>
</cp:coreProperties>
</file>